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0" w:before="60"/>
        <w:jc w:val="center"/>
      </w:pPr>
      <w:r>
        <w:rPr>
          <w:rFonts w:ascii="Calibri" w:cs="Calibri" w:eastAsia="Calibri" w:hAnsi="Calibri"/>
          <w:i/>
          <w:iCs/>
          <w:color w:val="5B6B7C"/>
          <w:sz w:val="18"/>
          <w:szCs w:val="18"/>
        </w:rPr>
        <w:t xml:space="preserve">Resource 3 of 27 — Foundation Series</w:t>
      </w:r>
    </w:p>
    <w:p>
      <w:pPr>
        <w:jc w:val="center"/>
      </w:pPr>
      <w:r>
        <w:rPr>
          <w:rFonts w:ascii="Georgia" w:cs="Georgia" w:eastAsia="Georgia" w:hAnsi="Georgia"/>
          <w:b/>
          <w:bCs/>
          <w:color w:val="1B2A4A"/>
          <w:sz w:val="38"/>
          <w:szCs w:val="38"/>
        </w:rPr>
        <w:t xml:space="preserve">The Cash Leak Assessment</w:t>
      </w:r>
    </w:p>
    <w:p>
      <w:pPr>
        <w:spacing w:after="400" w:before="140"/>
        <w:jc w:val="center"/>
      </w:pPr>
      <w:r>
        <w:rPr>
          <w:rFonts w:ascii="Calibri" w:cs="Calibri" w:eastAsia="Calibri" w:hAnsi="Calibri"/>
          <w:i/>
          <w:iCs/>
          <w:color w:val="2A2A2A"/>
          <w:sz w:val="22"/>
          <w:szCs w:val="22"/>
        </w:rPr>
        <w:t xml:space="preserve">A calm audit of where money is quietly leaving a business that's otherwise doing fine.</w:t>
      </w:r>
    </w:p>
    <w:p>
      <w:r>
        <w:br w:type="page"/>
      </w: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1. Resource Overview</w:t>
      </w:r>
    </w:p>
    <w:tbl>
      <w:tblPr>
        <w:tblW w:type="dxa" w:w="9350"/>
        <w:tblBorders>
          <w:top w:val="single" w:color="D8D2C4" w:sz="2"/>
          <w:left w:val="none"/>
          <w:bottom w:val="single" w:color="D8D2C4" w:sz="2"/>
          <w:right w:val="none"/>
          <w:insideH w:val="single" w:color="D8D2C4" w:sz="2"/>
          <w:insideV w:val="none"/>
        </w:tblBorders>
      </w:tblPr>
      <w:tblGrid>
        <w:gridCol w:w="2400"/>
        <w:gridCol w:w="6950"/>
      </w:tblGrid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Official Title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The Apex Cash Leak Assessment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Category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Foundation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Purpose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To help owners find where cash is quietly leaving the business through recurring costs, pricing gaps, slow collections, and waste — before assuming the problem is "not enough revenue."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Learning Objective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By the end of this resource, the owner can identify at least one concrete cash leak and name which of four common categories it falls into.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Intended Audience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Owners who feel like revenue is decent but cash never seems to reflect it.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Estimated Completion Time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20–25 minutes</w:t>
            </w:r>
          </w:p>
        </w:tc>
      </w:tr>
    </w:tbl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2. Educational Introduction</w:t>
      </w:r>
    </w:p>
    <w:p>
      <w:pPr>
        <w:pStyle w:val="Heading2"/>
        <w:spacing w:after="140" w:before="320"/>
      </w:pPr>
      <w:r>
        <w:rPr>
          <w:rFonts w:ascii="Georgia" w:cs="Georgia" w:eastAsia="Georgia" w:hAnsi="Georgia"/>
          <w:b/>
          <w:bCs/>
          <w:color w:val="1B2A4A"/>
          <w:sz w:val="24"/>
          <w:szCs w:val="24"/>
        </w:rPr>
        <w:t xml:space="preserve">The Problem Isn't Always Revenue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When cash feels tight, the instinct is almost always to chase more revenue. But a great deal of the money most businesses need is already being earned — it's just leaking out somewhere on the way to the bank account.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Cash leaks are rarely dramatic. They're a subscription no one uses anymore, a price that hasn't moved in three years while costs have, an invoice that sits unpaid for six weeks because no one owns follow-up, or a small inefficiency that costs a few hours every week. None of these show up as a single alarming number. They show up as a business that works hard and still feels tight.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This assessment walks through the four places leaks most commonly hide: recurring costs, pricing and margin, collections, and operational waste.</w:t>
      </w:r>
    </w:p>
    <w:p>
      <w:pPr>
        <w:pBdr>
          <w:left w:val="single" w:color="B08D57" w:sz="18" w:space="12"/>
        </w:pBdr>
        <w:spacing w:after="200" w:before="200"/>
        <w:ind w:left="400"/>
      </w:pPr>
      <w:r>
        <w:rPr>
          <w:rFonts w:ascii="Georgia" w:cs="Georgia" w:eastAsia="Georgia" w:hAnsi="Georgia"/>
          <w:i/>
          <w:iCs/>
          <w:color w:val="1B2A4A"/>
          <w:sz w:val="24"/>
          <w:szCs w:val="24"/>
        </w:rPr>
        <w:t xml:space="preserve">"Cash flow is business oxygen. You don't need more of it until you're sure you're not losing the oxygen you already have."</w:t>
      </w:r>
    </w:p>
    <w:p>
      <w:pPr>
        <w:pStyle w:val="Heading2"/>
        <w:spacing w:after="140" w:before="320"/>
      </w:pPr>
      <w:r>
        <w:rPr>
          <w:rFonts w:ascii="Georgia" w:cs="Georgia" w:eastAsia="Georgia" w:hAnsi="Georgia"/>
          <w:b/>
          <w:bCs/>
          <w:color w:val="1B2A4A"/>
          <w:sz w:val="24"/>
          <w:szCs w:val="24"/>
        </w:rPr>
        <w:t xml:space="preserve">How to Use This Resource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Have your last 2–3 months of bank and card statements nearby — this works best with real numbers, not memory.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Move through all four sections once, quickly, before going back to investigate anything in depth.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Look for the item that surprises you. Surprise is usually where the leak is.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Treat anything you find as useful information, not a failure — every business has at least one leak.</w:t>
      </w:r>
    </w:p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3. The Worksheet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B08D57"/>
          <w:sz w:val="21"/>
          <w:szCs w:val="21"/>
        </w:rPr>
        <w:t xml:space="preserve">Recurring Costs</w:t>
      </w:r>
    </w:p>
    <w:tbl>
      <w:tblPr>
        <w:tblW w:type="dxa" w:w="9350"/>
        <w:tblBorders>
          <w:top w:val="single" w:color="D8D2C4" w:sz="2"/>
          <w:left w:val="single" w:color="D8D2C4" w:sz="2"/>
          <w:bottom w:val="single" w:color="D8D2C4" w:sz="2"/>
          <w:right w:val="single" w:color="D8D2C4" w:sz="2"/>
          <w:insideH w:val="single" w:color="D8D2C4" w:sz="2"/>
          <w:insideV w:val="single" w:color="D8D2C4" w:sz="2"/>
        </w:tblBorders>
      </w:tblPr>
      <w:tblGrid>
        <w:gridCol w:w="700"/>
        <w:gridCol w:w="6900"/>
        <w:gridCol w:w="1750"/>
      </w:tblGrid>
      <w:tr>
        <w:trPr>
          <w:tblHeader/>
        </w:trPr>
        <w:tc>
          <w:tcPr>
            <w:tcW w:type="dxa" w:w="70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✓</w:t>
            </w:r>
          </w:p>
        </w:tc>
        <w:tc>
          <w:tcPr>
            <w:tcW w:type="dxa" w:w="6900"/>
            <w:shd w:fill="1B2A4A" w:val="clear"/>
            <w:tcMar>
              <w:top w:type="dxa" w:w="80"/>
              <w:left w:type="dxa" w:w="15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Recurring Costs</w:t>
            </w:r>
          </w:p>
        </w:tc>
        <w:tc>
          <w:tcPr>
            <w:tcW w:type="dxa" w:w="175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I've reviewed every subscription and recurring charge in the last 90 days.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could name what each recurring charge is actually for.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Nothing is being paid for that the team has stopped using.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I've compared at least one major recurring cost against current market rates.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40"/>
      </w:pP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B08D57"/>
          <w:sz w:val="21"/>
          <w:szCs w:val="21"/>
        </w:rPr>
        <w:t xml:space="preserve">Pricing &amp; Margin</w:t>
      </w:r>
    </w:p>
    <w:tbl>
      <w:tblPr>
        <w:tblW w:type="dxa" w:w="9350"/>
        <w:tblBorders>
          <w:top w:val="single" w:color="D8D2C4" w:sz="2"/>
          <w:left w:val="single" w:color="D8D2C4" w:sz="2"/>
          <w:bottom w:val="single" w:color="D8D2C4" w:sz="2"/>
          <w:right w:val="single" w:color="D8D2C4" w:sz="2"/>
          <w:insideH w:val="single" w:color="D8D2C4" w:sz="2"/>
          <w:insideV w:val="single" w:color="D8D2C4" w:sz="2"/>
        </w:tblBorders>
      </w:tblPr>
      <w:tblGrid>
        <w:gridCol w:w="700"/>
        <w:gridCol w:w="6900"/>
        <w:gridCol w:w="1750"/>
      </w:tblGrid>
      <w:tr>
        <w:trPr>
          <w:tblHeader/>
        </w:trPr>
        <w:tc>
          <w:tcPr>
            <w:tcW w:type="dxa" w:w="70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✓</w:t>
            </w:r>
          </w:p>
        </w:tc>
        <w:tc>
          <w:tcPr>
            <w:tcW w:type="dxa" w:w="6900"/>
            <w:shd w:fill="1B2A4A" w:val="clear"/>
            <w:tcMar>
              <w:top w:type="dxa" w:w="80"/>
              <w:left w:type="dxa" w:w="15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Pricing &amp; Margin</w:t>
            </w:r>
          </w:p>
        </w:tc>
        <w:tc>
          <w:tcPr>
            <w:tcW w:type="dxa" w:w="175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My prices have been reviewed in the last 12 months.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know my margin on each core product or service, not just overall revenue.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No offer is being sold at a loss without a clear strategic reason.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Costs that have risen recently have been reflected in pricing.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40"/>
      </w:pP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B08D57"/>
          <w:sz w:val="21"/>
          <w:szCs w:val="21"/>
        </w:rPr>
        <w:t xml:space="preserve">Collections</w:t>
      </w:r>
    </w:p>
    <w:tbl>
      <w:tblPr>
        <w:tblW w:type="dxa" w:w="9350"/>
        <w:tblBorders>
          <w:top w:val="single" w:color="D8D2C4" w:sz="2"/>
          <w:left w:val="single" w:color="D8D2C4" w:sz="2"/>
          <w:bottom w:val="single" w:color="D8D2C4" w:sz="2"/>
          <w:right w:val="single" w:color="D8D2C4" w:sz="2"/>
          <w:insideH w:val="single" w:color="D8D2C4" w:sz="2"/>
          <w:insideV w:val="single" w:color="D8D2C4" w:sz="2"/>
        </w:tblBorders>
      </w:tblPr>
      <w:tblGrid>
        <w:gridCol w:w="700"/>
        <w:gridCol w:w="6900"/>
        <w:gridCol w:w="1750"/>
      </w:tblGrid>
      <w:tr>
        <w:trPr>
          <w:tblHeader/>
        </w:trPr>
        <w:tc>
          <w:tcPr>
            <w:tcW w:type="dxa" w:w="70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✓</w:t>
            </w:r>
          </w:p>
        </w:tc>
        <w:tc>
          <w:tcPr>
            <w:tcW w:type="dxa" w:w="6900"/>
            <w:shd w:fill="1B2A4A" w:val="clear"/>
            <w:tcMar>
              <w:top w:type="dxa" w:w="80"/>
              <w:left w:type="dxa" w:w="15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Collections</w:t>
            </w:r>
          </w:p>
        </w:tc>
        <w:tc>
          <w:tcPr>
            <w:tcW w:type="dxa" w:w="175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know my average number of days to get paid.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Someone owns following up on overdue invoices, and it actually happens.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No invoice is currently more than 30 days overdue without a plan.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Payment terms are clear and communicated before work begins.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40"/>
      </w:pP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B08D57"/>
          <w:sz w:val="21"/>
          <w:szCs w:val="21"/>
        </w:rPr>
        <w:t xml:space="preserve">Waste &amp; Inefficiency</w:t>
      </w:r>
    </w:p>
    <w:tbl>
      <w:tblPr>
        <w:tblW w:type="dxa" w:w="9350"/>
        <w:tblBorders>
          <w:top w:val="single" w:color="D8D2C4" w:sz="2"/>
          <w:left w:val="single" w:color="D8D2C4" w:sz="2"/>
          <w:bottom w:val="single" w:color="D8D2C4" w:sz="2"/>
          <w:right w:val="single" w:color="D8D2C4" w:sz="2"/>
          <w:insideH w:val="single" w:color="D8D2C4" w:sz="2"/>
          <w:insideV w:val="single" w:color="D8D2C4" w:sz="2"/>
        </w:tblBorders>
      </w:tblPr>
      <w:tblGrid>
        <w:gridCol w:w="700"/>
        <w:gridCol w:w="6900"/>
        <w:gridCol w:w="1750"/>
      </w:tblGrid>
      <w:tr>
        <w:trPr>
          <w:tblHeader/>
        </w:trPr>
        <w:tc>
          <w:tcPr>
            <w:tcW w:type="dxa" w:w="70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✓</w:t>
            </w:r>
          </w:p>
        </w:tc>
        <w:tc>
          <w:tcPr>
            <w:tcW w:type="dxa" w:w="6900"/>
            <w:shd w:fill="1B2A4A" w:val="clear"/>
            <w:tcMar>
              <w:top w:type="dxa" w:w="80"/>
              <w:left w:type="dxa" w:w="15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Waste &amp; Inefficiency</w:t>
            </w:r>
          </w:p>
        </w:tc>
        <w:tc>
          <w:tcPr>
            <w:tcW w:type="dxa" w:w="1750"/>
            <w:shd w:fill="1B2A4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 could name one recurring task that costs more time than it's worth.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Materials, inventory, or supplies aren't regularly going unused or expiring.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FFFFF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Rework or redo costs are rare, not routine.</w:t>
            </w:r>
          </w:p>
        </w:tc>
        <w:tc>
          <w:tcPr>
            <w:tcW w:type="dxa" w:w="1750"/>
            <w:shd w:fill="FFFFF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jc w:val="center"/>
            </w:pPr>
            <w:r>
              <w:rPr>
                <w:color w:val="B08D57"/>
                <w:sz w:val="24"/>
                <w:szCs w:val="24"/>
              </w:rPr>
              <w:t xml:space="preserve">☐</w:t>
            </w:r>
          </w:p>
        </w:tc>
        <w:tc>
          <w:tcPr>
            <w:tcW w:type="dxa" w:w="6900"/>
            <w:shd w:fill="F4F1EC" w:val="clear"/>
            <w:tcMar>
              <w:top w:type="dxa" w:w="100"/>
              <w:left w:type="dxa" w:w="150"/>
              <w:bottom w:type="dxa" w:w="10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I've asked my team where they see money or time being wasted.</w:t>
            </w:r>
          </w:p>
        </w:tc>
        <w:tc>
          <w:tcPr>
            <w:tcW w:type="dxa" w:w="1750"/>
            <w:shd w:fill="F4F1EC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4. Reflection Prompts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Which section surprised you most? What did you expect to find versus what you actually found?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If you fixed only one leak this month, which one would free up the most cash with the least effort?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spacing w:after="160" w:line="300"/>
      </w:pPr>
      <w:r>
        <w:rPr>
          <w:rFonts w:ascii="Calibri" w:cs="Calibri" w:eastAsia="Calibri" w:hAnsi="Calibri"/>
          <w:i w:val="false"/>
          <w:iCs w:val="false"/>
          <w:color w:val="2A2A2A"/>
          <w:sz w:val="22"/>
          <w:szCs w:val="22"/>
        </w:rPr>
        <w:t xml:space="preserve">Is there a leak here you've known about for a while but haven't addressed? What's made it easy to postpone?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5. CEO Notes</w:t>
      </w:r>
    </w:p>
    <w:p>
      <w:pPr>
        <w:spacing w:after="160" w:line="300"/>
      </w:pPr>
      <w:r>
        <w:rPr>
          <w:rFonts w:ascii="Calibri" w:cs="Calibri" w:eastAsia="Calibri" w:hAnsi="Calibri"/>
          <w:i/>
          <w:iCs/>
          <w:color w:val="2A2A2A"/>
          <w:sz w:val="22"/>
          <w:szCs w:val="22"/>
        </w:rPr>
        <w:t xml:space="preserve">Track specific numbers here as you find them — the subscription to cancel, the invoice to chase, the price to revisit.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Bdr>
          <w:bottom w:val="single" w:color="D8D2C4" w:sz="6" w:space="1"/>
        </w:pBdr>
        <w:spacing w:after="260"/>
      </w:pPr>
      <w:r>
        <w:t xml:space="preserve"> </w:t>
      </w: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6. Key Takeaways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Most businesses don't have a revenue problem first — they have a leak problem first.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Leaks hide in four places: recurring costs, pricing, collections, and waste. Check all four before assuming which one it is.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The goal isn't to find every leak today. The goal is to find the one worth fixing this month.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Cash you stop losing is cash you don't have to go earn.</w:t>
      </w:r>
    </w:p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7. Suggested Layout (Canva)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Same navy/gold/off-white system as Resources 1 and 2, maintaining the library's visual continuity.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Consider a small "magnifying glass" or "leak/drip" line icon in the header to visually differentiate this as a diagnostic rather than a routine checklist.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Leave a wide right-hand margin on the worksheet pages for owners who want to jot down actual dollar figures next to each item.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Keep the four category headers in gold for quick visual scanning — owners will likely revisit one section at a time, not the whole document at once.</w:t>
      </w:r>
    </w:p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8. Printing Recommendations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US Letter, portrait, single-sided works best — owners often complete this with statements spread out beside it.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Standard matte stock is fine; this is a working document meant to be written on.</w:t>
      </w:r>
    </w:p>
    <w:p>
      <w:pPr>
        <w:pStyle w:val="ListParagraph"/>
        <w:numPr>
          <w:ilvl w:val="0"/>
          <w:numId w:val="2"/>
        </w:numPr>
        <w:spacing w:after="90"/>
      </w:pPr>
      <w:r>
        <w:rPr>
          <w:rFonts w:ascii="Calibri" w:cs="Calibri" w:eastAsia="Calibri" w:hAnsi="Calibri"/>
          <w:color w:val="2A2A2A"/>
          <w:sz w:val="22"/>
          <w:szCs w:val="22"/>
        </w:rPr>
        <w:t xml:space="preserve">Digital-first owners: a fillable PDF with a numeric field next to each item (for dollar estimates) adds real value here.</w:t>
      </w:r>
    </w:p>
    <w:p>
      <w:pPr>
        <w:spacing w:after="120"/>
      </w:pPr>
    </w:p>
    <w:p>
      <w:pPr>
        <w:pStyle w:val="Heading1"/>
        <w:pBdr>
          <w:bottom w:val="single" w:color="B08D57" w:sz="8" w:space="6"/>
        </w:pBdr>
        <w:spacing w:after="200" w:before="480"/>
      </w:pPr>
      <w:r>
        <w:rPr>
          <w:rFonts w:ascii="Georgia" w:cs="Georgia" w:eastAsia="Georgia" w:hAnsi="Georgia"/>
          <w:b/>
          <w:bCs/>
          <w:color w:val="1B2A4A"/>
          <w:sz w:val="32"/>
          <w:szCs w:val="32"/>
        </w:rPr>
        <w:t xml:space="preserve">9. Where This Fits in Apex Academy</w:t>
      </w:r>
    </w:p>
    <w:tbl>
      <w:tblPr>
        <w:tblW w:type="dxa" w:w="9350"/>
        <w:tblBorders>
          <w:top w:val="single" w:color="D8D2C4" w:sz="2"/>
          <w:left w:val="none"/>
          <w:bottom w:val="single" w:color="D8D2C4" w:sz="2"/>
          <w:right w:val="none"/>
          <w:insideH w:val="single" w:color="D8D2C4" w:sz="2"/>
          <w:insideV w:val="none"/>
        </w:tblBorders>
      </w:tblPr>
      <w:tblGrid>
        <w:gridCol w:w="2400"/>
        <w:gridCol w:w="6950"/>
      </w:tblGrid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Belongs In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Foundation track — typically completed after the Business Health Checklist, once "Cash Flow" is flagged as an area of concern.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Expands Into (Paid Workbook)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The Profit Recovery Workbook — a deeper walkthrough for turning identified leaks into a funded action plan.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Complementary Workshop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"Finding the Money You're Already Making" — a live session on plugging leaks before chasing new revenue.</w:t>
            </w:r>
          </w:p>
        </w:tc>
      </w:tr>
      <w:tr>
        <w:tc>
          <w:tcPr>
            <w:tcW w:type="dxa" w:w="2400"/>
            <w:shd w:fill="F4F1EC" w:val="clear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1B2A4A"/>
                <w:sz w:val="20"/>
                <w:szCs w:val="20"/>
              </w:rPr>
              <w:t xml:space="preserve">Supports Future Certification</w:t>
            </w:r>
          </w:p>
        </w:tc>
        <w:tc>
          <w:tcPr>
            <w:tcW w:type="dxa" w:w="6950"/>
            <w:tcMar>
              <w:top w:type="dxa" w:w="100"/>
              <w:left w:type="dxa" w:w="150"/>
              <w:bottom w:type="dxa" w:w="100"/>
              <w:right w:type="dxa" w:w="150"/>
            </w:tcMar>
            <w:vAlign w:val="center"/>
          </w:tcPr>
          <w:p>
            <w:r>
              <w:rPr>
                <w:rFonts w:ascii="Calibri" w:cs="Calibri" w:eastAsia="Calibri" w:hAnsi="Calibri"/>
                <w:color w:val="2A2A2A"/>
                <w:sz w:val="20"/>
                <w:szCs w:val="20"/>
              </w:rPr>
              <w:t xml:space="preserve">Apex Certified Business Operator — Module 2: Financial Fluency.</w:t>
            </w:r>
          </w:p>
        </w:tc>
      </w:tr>
    </w:tbl>
    <w:p>
      <w:pPr>
        <w:spacing w:after="120"/>
      </w:pPr>
    </w:p>
    <w:p>
      <w:r>
        <w:br w:type="page"/>
      </w:r>
    </w:p>
    <w:sectPr>
      <w:headerReference w:type="default" r:id="rId7"/>
      <w:footerReference w:type="default" r:id="rId8"/>
      <w:pgSz w:w="12240" w:h="15840" w:orient="portrait"/>
      <w:pgMar w:top="1000" w:right="1224" w:bottom="1000" w:left="122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B6B7C"/>
        <w:sz w:val="14"/>
        <w:szCs w:val="14"/>
      </w:rPr>
      <w:t xml:space="preserve">Free Resource Library  ·  </w:t>
    </w:r>
    <w:r>
      <w:rPr>
        <w:rFonts w:ascii="Calibri" w:cs="Calibri" w:eastAsia="Calibri" w:hAnsi="Calibri"/>
        <w:color w:val="5B6B7C"/>
        <w:sz w:val="14"/>
        <w:szCs w:val="14"/>
      </w:rPr>
      <w:t xml:space="preserve">Page </w:t>
    </w:r>
    <w:r>
      <w:rPr>
        <w:rFonts w:ascii="Calibri" w:cs="Calibri" w:eastAsia="Calibri" w:hAnsi="Calibri"/>
        <w:color w:val="5B6B7C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5B6B7C"/>
        <w:spacing w:val="20"/>
        <w:sz w:val="14"/>
        <w:szCs w:val="14"/>
      </w:rPr>
      <w:t xml:space="preserve">APEX ACADEMY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360" w:hanging="288"/>
      </w:pPr>
      <w:rPr>
        <w:color w:val="B08D57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2026-07-18T17:35:15.241Z</dcterms:created>
  <dcterms:modified xsi:type="dcterms:W3CDTF">2026-07-18T17:35:15.252Z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