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60" w:before="60"/>
        <w:jc w:val="center"/>
      </w:pPr>
      <w:r>
        <w:rPr>
          <w:rFonts w:ascii="Calibri" w:cs="Calibri" w:eastAsia="Calibri" w:hAnsi="Calibri"/>
          <w:i/>
          <w:iCs/>
          <w:color w:val="5B6B7C"/>
          <w:sz w:val="18"/>
          <w:szCs w:val="18"/>
        </w:rPr>
        <w:t xml:space="preserve">Resource 7 of 27 — Foundation Series</w:t>
      </w:r>
    </w:p>
    <w:p>
      <w:pPr>
        <w:jc w:val="center"/>
      </w:pPr>
      <w:r>
        <w:rPr>
          <w:rFonts w:ascii="Georgia" w:cs="Georgia" w:eastAsia="Georgia" w:hAnsi="Georgia"/>
          <w:b/>
          <w:bCs/>
          <w:color w:val="1B2A4A"/>
          <w:sz w:val="38"/>
          <w:szCs w:val="38"/>
        </w:rPr>
        <w:t xml:space="preserve">The Business Goal Planner</w:t>
      </w:r>
    </w:p>
    <w:p>
      <w:pPr>
        <w:spacing w:after="400" w:before="140"/>
        <w:jc w:val="center"/>
      </w:pPr>
      <w:r>
        <w:rPr>
          <w:rFonts w:ascii="Calibri" w:cs="Calibri" w:eastAsia="Calibri" w:hAnsi="Calibri"/>
          <w:i/>
          <w:iCs/>
          <w:color w:val="2A2A2A"/>
          <w:sz w:val="22"/>
          <w:szCs w:val="22"/>
        </w:rPr>
        <w:t xml:space="preserve">Turning "grow the business" into 1-3 goals worth actually pursuing.</w:t>
      </w:r>
    </w:p>
    <w:p>
      <w:r>
        <w:br w:type="page"/>
      </w:r>
    </w:p>
    <w:p>
      <w:pPr>
        <w:pStyle w:val="Heading1"/>
        <w:pBdr>
          <w:bottom w:val="single" w:color="B08D57" w:sz="8" w:space="6"/>
        </w:pBdr>
        <w:spacing w:after="200" w:before="480"/>
      </w:pPr>
      <w:r>
        <w:rPr>
          <w:rFonts w:ascii="Georgia" w:cs="Georgia" w:eastAsia="Georgia" w:hAnsi="Georgia"/>
          <w:b/>
          <w:bCs/>
          <w:color w:val="1B2A4A"/>
          <w:sz w:val="32"/>
          <w:szCs w:val="32"/>
        </w:rPr>
        <w:t xml:space="preserve">1. Resource Overview</w:t>
      </w:r>
    </w:p>
    <w:tbl>
      <w:tblPr>
        <w:tblW w:type="dxa" w:w="9350"/>
        <w:tblBorders>
          <w:top w:val="single" w:color="D8D2C4" w:sz="2"/>
          <w:left w:val="none"/>
          <w:bottom w:val="single" w:color="D8D2C4" w:sz="2"/>
          <w:right w:val="none"/>
          <w:insideH w:val="single" w:color="D8D2C4" w:sz="2"/>
          <w:insideV w:val="none"/>
        </w:tblBorders>
      </w:tblPr>
      <w:tblGrid>
        <w:gridCol w:w="2400"/>
        <w:gridCol w:w="6950"/>
      </w:tblGrid>
      <w:tr>
        <w:tc>
          <w:tcPr>
            <w:tcW w:type="dxa" w:w="2400"/>
            <w:shd w:fill="F4F1EC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2A4A"/>
                <w:sz w:val="20"/>
                <w:szCs w:val="20"/>
              </w:rPr>
              <w:t xml:space="preserve">Official Title</w:t>
            </w:r>
          </w:p>
        </w:tc>
        <w:tc>
          <w:tcPr>
            <w:tcW w:type="dxa" w:w="695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The Apex Business Goal Planner</w:t>
            </w:r>
          </w:p>
        </w:tc>
      </w:tr>
      <w:tr>
        <w:tc>
          <w:tcPr>
            <w:tcW w:type="dxa" w:w="2400"/>
            <w:shd w:fill="F4F1EC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2A4A"/>
                <w:sz w:val="20"/>
                <w:szCs w:val="20"/>
              </w:rPr>
              <w:t xml:space="preserve">Category</w:t>
            </w:r>
          </w:p>
        </w:tc>
        <w:tc>
          <w:tcPr>
            <w:tcW w:type="dxa" w:w="695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Foundation</w:t>
            </w:r>
          </w:p>
        </w:tc>
      </w:tr>
      <w:tr>
        <w:tc>
          <w:tcPr>
            <w:tcW w:type="dxa" w:w="2400"/>
            <w:shd w:fill="F4F1EC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2A4A"/>
                <w:sz w:val="20"/>
                <w:szCs w:val="20"/>
              </w:rPr>
              <w:t xml:space="preserve">Purpose</w:t>
            </w:r>
          </w:p>
        </w:tc>
        <w:tc>
          <w:tcPr>
            <w:tcW w:type="dxa" w:w="695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To turn vague ambitions like "grow the business" into a small number of specific, trackable goals with a clear first action.</w:t>
            </w:r>
          </w:p>
        </w:tc>
      </w:tr>
      <w:tr>
        <w:tc>
          <w:tcPr>
            <w:tcW w:type="dxa" w:w="2400"/>
            <w:shd w:fill="F4F1EC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2A4A"/>
                <w:sz w:val="20"/>
                <w:szCs w:val="20"/>
              </w:rPr>
              <w:t xml:space="preserve">Learning Objective</w:t>
            </w:r>
          </w:p>
        </w:tc>
        <w:tc>
          <w:tcPr>
            <w:tcW w:type="dxa" w:w="695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By the end of this resource, the owner can articulate 1–3 goals, each with a success metric, a deadline, and a defined first step.</w:t>
            </w:r>
          </w:p>
        </w:tc>
      </w:tr>
      <w:tr>
        <w:tc>
          <w:tcPr>
            <w:tcW w:type="dxa" w:w="2400"/>
            <w:shd w:fill="F4F1EC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2A4A"/>
                <w:sz w:val="20"/>
                <w:szCs w:val="20"/>
              </w:rPr>
              <w:t xml:space="preserve">Intended Audience</w:t>
            </w:r>
          </w:p>
        </w:tc>
        <w:tc>
          <w:tcPr>
            <w:tcW w:type="dxa" w:w="695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Owners heading into a new quarter, year, or planning period who want direction, not just ambition.</w:t>
            </w:r>
          </w:p>
        </w:tc>
      </w:tr>
      <w:tr>
        <w:tc>
          <w:tcPr>
            <w:tcW w:type="dxa" w:w="2400"/>
            <w:shd w:fill="F4F1EC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2A4A"/>
                <w:sz w:val="20"/>
                <w:szCs w:val="20"/>
              </w:rPr>
              <w:t xml:space="preserve">Estimated Completion Time</w:t>
            </w:r>
          </w:p>
        </w:tc>
        <w:tc>
          <w:tcPr>
            <w:tcW w:type="dxa" w:w="695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25–30 minutes</w:t>
            </w:r>
          </w:p>
        </w:tc>
      </w:tr>
    </w:tbl>
    <w:p>
      <w:pPr>
        <w:spacing w:after="120"/>
      </w:pPr>
    </w:p>
    <w:p>
      <w:pPr>
        <w:pStyle w:val="Heading1"/>
        <w:pBdr>
          <w:bottom w:val="single" w:color="B08D57" w:sz="8" w:space="6"/>
        </w:pBdr>
        <w:spacing w:after="200" w:before="480"/>
      </w:pPr>
      <w:r>
        <w:rPr>
          <w:rFonts w:ascii="Georgia" w:cs="Georgia" w:eastAsia="Georgia" w:hAnsi="Georgia"/>
          <w:b/>
          <w:bCs/>
          <w:color w:val="1B2A4A"/>
          <w:sz w:val="32"/>
          <w:szCs w:val="32"/>
        </w:rPr>
        <w:t xml:space="preserve">2. Educational Introduction</w:t>
      </w:r>
    </w:p>
    <w:p>
      <w:pPr>
        <w:pStyle w:val="Heading2"/>
        <w:spacing w:after="140" w:before="320"/>
      </w:pPr>
      <w:r>
        <w:rPr>
          <w:rFonts w:ascii="Georgia" w:cs="Georgia" w:eastAsia="Georgia" w:hAnsi="Georgia"/>
          <w:b/>
          <w:bCs/>
          <w:color w:val="1B2A4A"/>
          <w:sz w:val="24"/>
          <w:szCs w:val="24"/>
        </w:rPr>
        <w:t xml:space="preserve">A Goal Without a Metric Is a Wish</w:t>
      </w:r>
    </w:p>
    <w:p>
      <w:pPr>
        <w:spacing w:after="160" w:line="300"/>
      </w:pPr>
      <w:r>
        <w:rPr>
          <w:rFonts w:ascii="Calibri" w:cs="Calibri" w:eastAsia="Calibri" w:hAnsi="Calibri"/>
          <w:i w:val="false"/>
          <w:iCs w:val="false"/>
          <w:color w:val="2A2A2A"/>
          <w:sz w:val="22"/>
          <w:szCs w:val="22"/>
        </w:rPr>
        <w:t xml:space="preserve">"Grow the business" isn't a goal — it's a direction. Directions are useful, but they don't tell you what to do on a Tuesday. A goal becomes usable the moment it has a specific number attached, a deadline, and a first action small enough to actually start this week.</w:t>
      </w:r>
    </w:p>
    <w:p>
      <w:pPr>
        <w:spacing w:after="160" w:line="300"/>
      </w:pPr>
      <w:r>
        <w:rPr>
          <w:rFonts w:ascii="Calibri" w:cs="Calibri" w:eastAsia="Calibri" w:hAnsi="Calibri"/>
          <w:i w:val="false"/>
          <w:iCs w:val="false"/>
          <w:color w:val="2A2A2A"/>
          <w:sz w:val="22"/>
          <w:szCs w:val="22"/>
        </w:rPr>
        <w:t xml:space="preserve">This planner is deliberately limited to three goals at a time. Not because more goals aren't valuable, but because attention is finite, and a business chasing eight priorities usually makes real progress on none of them.</w:t>
      </w:r>
    </w:p>
    <w:p>
      <w:pPr>
        <w:spacing w:after="160" w:line="300"/>
      </w:pPr>
      <w:r>
        <w:rPr>
          <w:rFonts w:ascii="Calibri" w:cs="Calibri" w:eastAsia="Calibri" w:hAnsi="Calibri"/>
          <w:i w:val="false"/>
          <w:iCs w:val="false"/>
          <w:color w:val="2A2A2A"/>
          <w:sz w:val="22"/>
          <w:szCs w:val="22"/>
        </w:rPr>
        <w:t xml:space="preserve">Each goal gets the same simple structure: why it matters, how you'll know it's working, when it's due, and what the very first step looks like. That structure is what turns ambition into a plan.</w:t>
      </w:r>
    </w:p>
    <w:p>
      <w:pPr>
        <w:pBdr>
          <w:left w:val="single" w:color="B08D57" w:sz="18" w:space="12"/>
        </w:pBdr>
        <w:spacing w:after="200" w:before="200"/>
        <w:ind w:left="400"/>
      </w:pPr>
      <w:r>
        <w:rPr>
          <w:rFonts w:ascii="Georgia" w:cs="Georgia" w:eastAsia="Georgia" w:hAnsi="Georgia"/>
          <w:i/>
          <w:iCs/>
          <w:color w:val="1B2A4A"/>
          <w:sz w:val="24"/>
          <w:szCs w:val="24"/>
        </w:rPr>
        <w:t xml:space="preserve">"Clarity beats complexity. A goal with a number and a deadline is clarity. Everything vaguer than that is just a hope."</w:t>
      </w:r>
    </w:p>
    <w:p>
      <w:pPr>
        <w:pStyle w:val="Heading2"/>
        <w:spacing w:after="140" w:before="320"/>
      </w:pPr>
      <w:r>
        <w:rPr>
          <w:rFonts w:ascii="Georgia" w:cs="Georgia" w:eastAsia="Georgia" w:hAnsi="Georgia"/>
          <w:b/>
          <w:bCs/>
          <w:color w:val="1B2A4A"/>
          <w:sz w:val="24"/>
          <w:szCs w:val="24"/>
        </w:rPr>
        <w:t xml:space="preserve">How to Use This Resource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Start with a longer list if you need to, but narrow it to three goals maximum before finishing this resource.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For each goal, resist writing the metric last — a goal without a number attached is usually not specific enough yet.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Make the "first action" something you could plausibly do within the next week, not the next month.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Revisit this planner at the start of each new period, rather than letting old goals linger unreviewed.</w:t>
      </w:r>
    </w:p>
    <w:p>
      <w:pPr>
        <w:spacing w:after="120"/>
      </w:pPr>
    </w:p>
    <w:p>
      <w:pPr>
        <w:pStyle w:val="Heading1"/>
        <w:pBdr>
          <w:bottom w:val="single" w:color="B08D57" w:sz="8" w:space="6"/>
        </w:pBdr>
        <w:spacing w:after="200" w:before="480"/>
      </w:pPr>
      <w:r>
        <w:rPr>
          <w:rFonts w:ascii="Georgia" w:cs="Georgia" w:eastAsia="Georgia" w:hAnsi="Georgia"/>
          <w:b/>
          <w:bCs/>
          <w:color w:val="1B2A4A"/>
          <w:sz w:val="32"/>
          <w:szCs w:val="32"/>
        </w:rPr>
        <w:t xml:space="preserve">3. The Worksheet</w:t>
      </w:r>
    </w:p>
    <w:p>
      <w:pPr>
        <w:spacing w:after="100" w:before="220"/>
      </w:pPr>
      <w:r>
        <w:rPr>
          <w:rFonts w:ascii="Calibri" w:cs="Calibri" w:eastAsia="Calibri" w:hAnsi="Calibri"/>
          <w:b/>
          <w:bCs/>
          <w:color w:val="B08D57"/>
          <w:sz w:val="21"/>
          <w:szCs w:val="21"/>
        </w:rPr>
        <w:t xml:space="preserve">Goal Filter</w:t>
      </w:r>
    </w:p>
    <w:tbl>
      <w:tblPr>
        <w:tblW w:type="dxa" w:w="9350"/>
        <w:tblBorders>
          <w:top w:val="single" w:color="D8D2C4" w:sz="2"/>
          <w:left w:val="single" w:color="D8D2C4" w:sz="2"/>
          <w:bottom w:val="single" w:color="D8D2C4" w:sz="2"/>
          <w:right w:val="single" w:color="D8D2C4" w:sz="2"/>
          <w:insideH w:val="single" w:color="D8D2C4" w:sz="2"/>
          <w:insideV w:val="single" w:color="D8D2C4" w:sz="2"/>
        </w:tblBorders>
      </w:tblPr>
      <w:tblGrid>
        <w:gridCol w:w="700"/>
        <w:gridCol w:w="6900"/>
        <w:gridCol w:w="1750"/>
      </w:tblGrid>
      <w:tr>
        <w:trPr>
          <w:tblHeader/>
        </w:trPr>
        <w:tc>
          <w:tcPr>
            <w:tcW w:type="dxa" w:w="700"/>
            <w:shd w:fill="1B2A4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✓</w:t>
            </w:r>
          </w:p>
        </w:tc>
        <w:tc>
          <w:tcPr>
            <w:tcW w:type="dxa" w:w="6900"/>
            <w:shd w:fill="1B2A4A" w:val="clear"/>
            <w:tcMar>
              <w:top w:type="dxa" w:w="80"/>
              <w:left w:type="dxa" w:w="15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Goal Filter</w:t>
            </w:r>
          </w:p>
        </w:tc>
        <w:tc>
          <w:tcPr>
            <w:tcW w:type="dxa" w:w="1750"/>
            <w:shd w:fill="1B2A4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FFFFF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This goal has a specific number attached, not just a direction.</w:t>
            </w:r>
          </w:p>
        </w:tc>
        <w:tc>
          <w:tcPr>
            <w:tcW w:type="dxa" w:w="175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shd w:fill="F4F1E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4F1EC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I could explain in one sentence why this goal matters right now.</w:t>
            </w:r>
          </w:p>
        </w:tc>
        <w:tc>
          <w:tcPr>
            <w:tcW w:type="dxa" w:w="1750"/>
            <w:shd w:fill="F4F1E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FFFFF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This goal is realistically achievable in the time frame given.</w:t>
            </w:r>
          </w:p>
        </w:tc>
        <w:tc>
          <w:tcPr>
            <w:tcW w:type="dxa" w:w="175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shd w:fill="F4F1E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4F1EC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Pursuing this goal won't quietly work against another priority.</w:t>
            </w:r>
          </w:p>
        </w:tc>
        <w:tc>
          <w:tcPr>
            <w:tcW w:type="dxa" w:w="1750"/>
            <w:shd w:fill="F4F1E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160"/>
      </w:pPr>
    </w:p>
    <w:p>
      <w:pPr>
        <w:spacing w:after="100" w:before="220"/>
      </w:pPr>
      <w:r>
        <w:rPr>
          <w:rFonts w:ascii="Calibri" w:cs="Calibri" w:eastAsia="Calibri" w:hAnsi="Calibri"/>
          <w:b/>
          <w:bCs/>
          <w:color w:val="B08D57"/>
          <w:sz w:val="21"/>
          <w:szCs w:val="21"/>
        </w:rPr>
        <w:t xml:space="preserve">Your Goals</w:t>
      </w:r>
    </w:p>
    <w:p>
      <w:pPr>
        <w:spacing w:after="160" w:line="300"/>
      </w:pPr>
      <w:r>
        <w:rPr>
          <w:rFonts w:ascii="Calibri" w:cs="Calibri" w:eastAsia="Calibri" w:hAnsi="Calibri"/>
          <w:i/>
          <w:iCs/>
          <w:color w:val="2A2A2A"/>
          <w:sz w:val="22"/>
          <w:szCs w:val="22"/>
        </w:rPr>
        <w:t xml:space="preserve">Limit to three. If you have more candidates, that's useful information — but only three make the final list.</w:t>
      </w:r>
    </w:p>
    <w:p>
      <w:pPr>
        <w:spacing w:after="80"/>
      </w:pPr>
    </w:p>
    <w:tbl>
      <w:tblPr>
        <w:tblW w:type="dxa" w:w="8900"/>
        <w:tblBorders>
          <w:top w:val="single" w:color="D8D2C4" w:sz="2"/>
          <w:left w:val="single" w:color="D8D2C4" w:sz="2"/>
          <w:bottom w:val="single" w:color="D8D2C4" w:sz="2"/>
          <w:right w:val="single" w:color="D8D2C4" w:sz="2"/>
          <w:insideH w:val="single" w:color="D8D2C4" w:sz="2"/>
          <w:insideV w:val="single" w:color="D8D2C4" w:sz="2"/>
        </w:tblBorders>
      </w:tblPr>
      <w:tblGrid>
        <w:gridCol w:w="2100"/>
        <w:gridCol w:w="2600"/>
        <w:gridCol w:w="1700"/>
        <w:gridCol w:w="2500"/>
      </w:tblGrid>
      <w:tr>
        <w:trPr>
          <w:tblHeader/>
        </w:trPr>
        <w:tc>
          <w:tcPr>
            <w:tcW w:type="dxa" w:w="2100"/>
            <w:shd w:fill="1B2A4A" w:val="clear"/>
            <w:tcMar>
              <w:top w:type="dxa" w:w="80"/>
              <w:left w:type="dxa" w:w="12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Goal</w:t>
            </w:r>
          </w:p>
        </w:tc>
        <w:tc>
          <w:tcPr>
            <w:tcW w:type="dxa" w:w="2600"/>
            <w:shd w:fill="1B2A4A" w:val="clear"/>
            <w:tcMar>
              <w:top w:type="dxa" w:w="80"/>
              <w:left w:type="dxa" w:w="12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Success Metric</w:t>
            </w:r>
          </w:p>
        </w:tc>
        <w:tc>
          <w:tcPr>
            <w:tcW w:type="dxa" w:w="1700"/>
            <w:shd w:fill="1B2A4A" w:val="clear"/>
            <w:tcMar>
              <w:top w:type="dxa" w:w="80"/>
              <w:left w:type="dxa" w:w="12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Deadline</w:t>
            </w:r>
          </w:p>
        </w:tc>
        <w:tc>
          <w:tcPr>
            <w:tcW w:type="dxa" w:w="2500"/>
            <w:shd w:fill="1B2A4A" w:val="clear"/>
            <w:tcMar>
              <w:top w:type="dxa" w:w="80"/>
              <w:left w:type="dxa" w:w="12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First Action</w:t>
            </w:r>
          </w:p>
        </w:tc>
      </w:tr>
      <w:tr>
        <w:tc>
          <w:tcPr>
            <w:tcW w:type="dxa" w:w="2100"/>
            <w:shd w:fill="FFFFFF" w:val="clear"/>
            <w:tcMar>
              <w:top w:type="dxa" w:w="140"/>
              <w:left w:type="dxa" w:w="120"/>
              <w:bottom w:type="dxa" w:w="140"/>
              <w:right w:type="dxa" w:w="100"/>
            </w:tcMar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2A2A2A"/>
                <w:sz w:val="19"/>
                <w:szCs w:val="19"/>
              </w:rPr>
              <w:t xml:space="preserve">Goal 1</w:t>
            </w:r>
          </w:p>
        </w:tc>
        <w:tc>
          <w:tcPr>
            <w:tcW w:type="dxa" w:w="2600"/>
            <w:shd w:fill="FFFFFF" w:val="clear"/>
            <w:tcMar>
              <w:top w:type="dxa" w:w="140"/>
              <w:left w:type="dxa" w:w="120"/>
              <w:bottom w:type="dxa" w:w="140"/>
              <w:right w:type="dxa" w:w="10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2A2A2A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shd w:fill="FFFFFF" w:val="clear"/>
            <w:tcMar>
              <w:top w:type="dxa" w:w="140"/>
              <w:left w:type="dxa" w:w="120"/>
              <w:bottom w:type="dxa" w:w="140"/>
              <w:right w:type="dxa" w:w="10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2A2A2A"/>
                <w:sz w:val="19"/>
                <w:szCs w:val="19"/>
              </w:rPr>
              <w:t xml:space="preserve"/>
            </w:r>
          </w:p>
        </w:tc>
        <w:tc>
          <w:tcPr>
            <w:tcW w:type="dxa" w:w="2500"/>
            <w:shd w:fill="FFFFFF" w:val="clear"/>
            <w:tcMar>
              <w:top w:type="dxa" w:w="140"/>
              <w:left w:type="dxa" w:w="120"/>
              <w:bottom w:type="dxa" w:w="140"/>
              <w:right w:type="dxa" w:w="10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2A2A2A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100"/>
            <w:shd w:fill="F4F1EC" w:val="clear"/>
            <w:tcMar>
              <w:top w:type="dxa" w:w="140"/>
              <w:left w:type="dxa" w:w="120"/>
              <w:bottom w:type="dxa" w:w="140"/>
              <w:right w:type="dxa" w:w="100"/>
            </w:tcMar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2A2A2A"/>
                <w:sz w:val="19"/>
                <w:szCs w:val="19"/>
              </w:rPr>
              <w:t xml:space="preserve">Goal 2</w:t>
            </w:r>
          </w:p>
        </w:tc>
        <w:tc>
          <w:tcPr>
            <w:tcW w:type="dxa" w:w="2600"/>
            <w:shd w:fill="F4F1EC" w:val="clear"/>
            <w:tcMar>
              <w:top w:type="dxa" w:w="140"/>
              <w:left w:type="dxa" w:w="120"/>
              <w:bottom w:type="dxa" w:w="140"/>
              <w:right w:type="dxa" w:w="10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2A2A2A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shd w:fill="F4F1EC" w:val="clear"/>
            <w:tcMar>
              <w:top w:type="dxa" w:w="140"/>
              <w:left w:type="dxa" w:w="120"/>
              <w:bottom w:type="dxa" w:w="140"/>
              <w:right w:type="dxa" w:w="10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2A2A2A"/>
                <w:sz w:val="19"/>
                <w:szCs w:val="19"/>
              </w:rPr>
              <w:t xml:space="preserve"/>
            </w:r>
          </w:p>
        </w:tc>
        <w:tc>
          <w:tcPr>
            <w:tcW w:type="dxa" w:w="2500"/>
            <w:shd w:fill="F4F1EC" w:val="clear"/>
            <w:tcMar>
              <w:top w:type="dxa" w:w="140"/>
              <w:left w:type="dxa" w:w="120"/>
              <w:bottom w:type="dxa" w:w="140"/>
              <w:right w:type="dxa" w:w="10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2A2A2A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100"/>
            <w:shd w:fill="FFFFFF" w:val="clear"/>
            <w:tcMar>
              <w:top w:type="dxa" w:w="140"/>
              <w:left w:type="dxa" w:w="120"/>
              <w:bottom w:type="dxa" w:w="140"/>
              <w:right w:type="dxa" w:w="100"/>
            </w:tcMar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2A2A2A"/>
                <w:sz w:val="19"/>
                <w:szCs w:val="19"/>
              </w:rPr>
              <w:t xml:space="preserve">Goal 3</w:t>
            </w:r>
          </w:p>
        </w:tc>
        <w:tc>
          <w:tcPr>
            <w:tcW w:type="dxa" w:w="2600"/>
            <w:shd w:fill="FFFFFF" w:val="clear"/>
            <w:tcMar>
              <w:top w:type="dxa" w:w="140"/>
              <w:left w:type="dxa" w:w="120"/>
              <w:bottom w:type="dxa" w:w="140"/>
              <w:right w:type="dxa" w:w="10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2A2A2A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shd w:fill="FFFFFF" w:val="clear"/>
            <w:tcMar>
              <w:top w:type="dxa" w:w="140"/>
              <w:left w:type="dxa" w:w="120"/>
              <w:bottom w:type="dxa" w:w="140"/>
              <w:right w:type="dxa" w:w="10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2A2A2A"/>
                <w:sz w:val="19"/>
                <w:szCs w:val="19"/>
              </w:rPr>
              <w:t xml:space="preserve"/>
            </w:r>
          </w:p>
        </w:tc>
        <w:tc>
          <w:tcPr>
            <w:tcW w:type="dxa" w:w="2500"/>
            <w:shd w:fill="FFFFFF" w:val="clear"/>
            <w:tcMar>
              <w:top w:type="dxa" w:w="140"/>
              <w:left w:type="dxa" w:w="120"/>
              <w:bottom w:type="dxa" w:w="140"/>
              <w:right w:type="dxa" w:w="10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2A2A2A"/>
                <w:sz w:val="19"/>
                <w:szCs w:val="19"/>
              </w:rPr>
              <w:t xml:space="preserve"/>
            </w:r>
          </w:p>
        </w:tc>
      </w:tr>
    </w:tbl>
    <w:p>
      <w:pPr>
        <w:spacing w:after="200"/>
      </w:pPr>
    </w:p>
    <w:p>
      <w:pPr>
        <w:pStyle w:val="Heading1"/>
        <w:pBdr>
          <w:bottom w:val="single" w:color="B08D57" w:sz="8" w:space="6"/>
        </w:pBdr>
        <w:spacing w:after="200" w:before="480"/>
      </w:pPr>
      <w:r>
        <w:rPr>
          <w:rFonts w:ascii="Georgia" w:cs="Georgia" w:eastAsia="Georgia" w:hAnsi="Georgia"/>
          <w:b/>
          <w:bCs/>
          <w:color w:val="1B2A4A"/>
          <w:sz w:val="32"/>
          <w:szCs w:val="32"/>
        </w:rPr>
        <w:t xml:space="preserve">4. Reflection Prompts</w:t>
      </w:r>
    </w:p>
    <w:p>
      <w:pPr>
        <w:spacing w:after="160" w:line="300"/>
      </w:pPr>
      <w:r>
        <w:rPr>
          <w:rFonts w:ascii="Calibri" w:cs="Calibri" w:eastAsia="Calibri" w:hAnsi="Calibri"/>
          <w:i w:val="false"/>
          <w:iCs w:val="false"/>
          <w:color w:val="2A2A2A"/>
          <w:sz w:val="22"/>
          <w:szCs w:val="22"/>
        </w:rPr>
        <w:t xml:space="preserve">Of your three goals, which one are you most tempted to quietly deprioritize when things get busy? Why?</w:t>
      </w:r>
    </w:p>
    <w:p>
      <w:pPr>
        <w:pBdr>
          <w:bottom w:val="single" w:color="D8D2C4" w:sz="6" w:space="1"/>
        </w:pBdr>
        <w:spacing w:after="260"/>
      </w:pPr>
      <w:r>
        <w:t xml:space="preserve"> </w:t>
      </w:r>
    </w:p>
    <w:p>
      <w:pPr>
        <w:pBdr>
          <w:bottom w:val="single" w:color="D8D2C4" w:sz="6" w:space="1"/>
        </w:pBdr>
        <w:spacing w:after="260"/>
      </w:pPr>
      <w:r>
        <w:t xml:space="preserve"> </w:t>
      </w:r>
    </w:p>
    <w:p>
      <w:pPr>
        <w:spacing w:after="160" w:line="300"/>
      </w:pPr>
      <w:r>
        <w:rPr>
          <w:rFonts w:ascii="Calibri" w:cs="Calibri" w:eastAsia="Calibri" w:hAnsi="Calibri"/>
          <w:i w:val="false"/>
          <w:iCs w:val="false"/>
          <w:color w:val="2A2A2A"/>
          <w:sz w:val="22"/>
          <w:szCs w:val="22"/>
        </w:rPr>
        <w:t xml:space="preserve">If you could only accomplish one of these three this period, which would you choose — and does that match which one is listed first?</w:t>
      </w:r>
    </w:p>
    <w:p>
      <w:pPr>
        <w:pBdr>
          <w:bottom w:val="single" w:color="D8D2C4" w:sz="6" w:space="1"/>
        </w:pBdr>
        <w:spacing w:after="260"/>
      </w:pPr>
      <w:r>
        <w:t xml:space="preserve"> </w:t>
      </w:r>
    </w:p>
    <w:p>
      <w:pPr>
        <w:pBdr>
          <w:bottom w:val="single" w:color="D8D2C4" w:sz="6" w:space="1"/>
        </w:pBdr>
        <w:spacing w:after="260"/>
      </w:pPr>
      <w:r>
        <w:t xml:space="preserve"> </w:t>
      </w:r>
    </w:p>
    <w:p>
      <w:pPr>
        <w:pStyle w:val="Heading1"/>
        <w:pBdr>
          <w:bottom w:val="single" w:color="B08D57" w:sz="8" w:space="6"/>
        </w:pBdr>
        <w:spacing w:after="200" w:before="480"/>
      </w:pPr>
      <w:r>
        <w:rPr>
          <w:rFonts w:ascii="Georgia" w:cs="Georgia" w:eastAsia="Georgia" w:hAnsi="Georgia"/>
          <w:b/>
          <w:bCs/>
          <w:color w:val="1B2A4A"/>
          <w:sz w:val="32"/>
          <w:szCs w:val="32"/>
        </w:rPr>
        <w:t xml:space="preserve">5. CEO Notes</w:t>
      </w:r>
    </w:p>
    <w:p>
      <w:pPr>
        <w:spacing w:after="160" w:line="300"/>
      </w:pPr>
      <w:r>
        <w:rPr>
          <w:rFonts w:ascii="Calibri" w:cs="Calibri" w:eastAsia="Calibri" w:hAnsi="Calibri"/>
          <w:i/>
          <w:iCs/>
          <w:color w:val="2A2A2A"/>
          <w:sz w:val="22"/>
          <w:szCs w:val="22"/>
        </w:rPr>
        <w:t xml:space="preserve">Track obstacles, resources needed, or people to involve as they come up.</w:t>
      </w:r>
    </w:p>
    <w:p>
      <w:pPr>
        <w:pBdr>
          <w:bottom w:val="single" w:color="D8D2C4" w:sz="6" w:space="1"/>
        </w:pBdr>
        <w:spacing w:after="260"/>
      </w:pPr>
      <w:r>
        <w:t xml:space="preserve"> </w:t>
      </w:r>
    </w:p>
    <w:p>
      <w:pPr>
        <w:pBdr>
          <w:bottom w:val="single" w:color="D8D2C4" w:sz="6" w:space="1"/>
        </w:pBdr>
        <w:spacing w:after="260"/>
      </w:pPr>
      <w:r>
        <w:t xml:space="preserve"> </w:t>
      </w:r>
    </w:p>
    <w:p>
      <w:pPr>
        <w:pBdr>
          <w:bottom w:val="single" w:color="D8D2C4" w:sz="6" w:space="1"/>
        </w:pBdr>
        <w:spacing w:after="260"/>
      </w:pPr>
      <w:r>
        <w:t xml:space="preserve"> </w:t>
      </w:r>
    </w:p>
    <w:p>
      <w:pPr>
        <w:pBdr>
          <w:bottom w:val="single" w:color="D8D2C4" w:sz="6" w:space="1"/>
        </w:pBdr>
        <w:spacing w:after="260"/>
      </w:pPr>
      <w:r>
        <w:t xml:space="preserve"> </w:t>
      </w:r>
    </w:p>
    <w:p>
      <w:pPr>
        <w:pBdr>
          <w:bottom w:val="single" w:color="D8D2C4" w:sz="6" w:space="1"/>
        </w:pBdr>
        <w:spacing w:after="260"/>
      </w:pPr>
      <w:r>
        <w:t xml:space="preserve"> </w:t>
      </w:r>
    </w:p>
    <w:p>
      <w:pPr>
        <w:pBdr>
          <w:bottom w:val="single" w:color="D8D2C4" w:sz="6" w:space="1"/>
        </w:pBdr>
        <w:spacing w:after="260"/>
      </w:pPr>
      <w:r>
        <w:t xml:space="preserve"> </w:t>
      </w:r>
    </w:p>
    <w:p>
      <w:pPr>
        <w:pStyle w:val="Heading1"/>
        <w:pBdr>
          <w:bottom w:val="single" w:color="B08D57" w:sz="8" w:space="6"/>
        </w:pBdr>
        <w:spacing w:after="200" w:before="480"/>
      </w:pPr>
      <w:r>
        <w:rPr>
          <w:rFonts w:ascii="Georgia" w:cs="Georgia" w:eastAsia="Georgia" w:hAnsi="Georgia"/>
          <w:b/>
          <w:bCs/>
          <w:color w:val="1B2A4A"/>
          <w:sz w:val="32"/>
          <w:szCs w:val="32"/>
        </w:rPr>
        <w:t xml:space="preserve">6. Key Takeaways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"Grow the business" is a direction, not a goal. A goal needs a number and a date.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Three goals, pursued fully, beat eight goals pursued partially.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The first action is what separates a plan from an intention. Make it small enough to start this week.</w:t>
      </w:r>
    </w:p>
    <w:p>
      <w:pPr>
        <w:spacing w:after="120"/>
      </w:pPr>
    </w:p>
    <w:p>
      <w:pPr>
        <w:pStyle w:val="Heading1"/>
        <w:pBdr>
          <w:bottom w:val="single" w:color="B08D57" w:sz="8" w:space="6"/>
        </w:pBdr>
        <w:spacing w:after="200" w:before="480"/>
      </w:pPr>
      <w:r>
        <w:rPr>
          <w:rFonts w:ascii="Georgia" w:cs="Georgia" w:eastAsia="Georgia" w:hAnsi="Georgia"/>
          <w:b/>
          <w:bCs/>
          <w:color w:val="1B2A4A"/>
          <w:sz w:val="32"/>
          <w:szCs w:val="32"/>
        </w:rPr>
        <w:t xml:space="preserve">7. Suggested Layout (Canva)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Design the three-goal table as the visual centerpiece of the page — generous cell height, since it's meant to be revisited and referenced often.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A small progress-tracking element (e.g., a slim gold progress bar per goal) works well if this becomes a living document rather than a one-time form.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Keep the Goal Filter checklist visually lighter/smaller than the goals table — it's a filter, not the main event.</w:t>
      </w:r>
    </w:p>
    <w:p>
      <w:pPr>
        <w:spacing w:after="120"/>
      </w:pPr>
    </w:p>
    <w:p>
      <w:pPr>
        <w:pStyle w:val="Heading1"/>
        <w:pBdr>
          <w:bottom w:val="single" w:color="B08D57" w:sz="8" w:space="6"/>
        </w:pBdr>
        <w:spacing w:after="200" w:before="480"/>
      </w:pPr>
      <w:r>
        <w:rPr>
          <w:rFonts w:ascii="Georgia" w:cs="Georgia" w:eastAsia="Georgia" w:hAnsi="Georgia"/>
          <w:b/>
          <w:bCs/>
          <w:color w:val="1B2A4A"/>
          <w:sz w:val="32"/>
          <w:szCs w:val="32"/>
        </w:rPr>
        <w:t xml:space="preserve">8. Printing Recommendations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US Letter, landscape orientation gives the goals table more room to breathe.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Worth laminating or placing in a sleeve if it will be referenced weekly throughout the period rather than filed away.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Digital-first owners: a simple tracked spreadsheet or project-tool card per goal keeps the "first action" visible day to day.</w:t>
      </w:r>
    </w:p>
    <w:p>
      <w:pPr>
        <w:spacing w:after="120"/>
      </w:pPr>
    </w:p>
    <w:p>
      <w:pPr>
        <w:pStyle w:val="Heading1"/>
        <w:pBdr>
          <w:bottom w:val="single" w:color="B08D57" w:sz="8" w:space="6"/>
        </w:pBdr>
        <w:spacing w:after="200" w:before="480"/>
      </w:pPr>
      <w:r>
        <w:rPr>
          <w:rFonts w:ascii="Georgia" w:cs="Georgia" w:eastAsia="Georgia" w:hAnsi="Georgia"/>
          <w:b/>
          <w:bCs/>
          <w:color w:val="1B2A4A"/>
          <w:sz w:val="32"/>
          <w:szCs w:val="32"/>
        </w:rPr>
        <w:t xml:space="preserve">9. Where This Fits in Apex Academy</w:t>
      </w:r>
    </w:p>
    <w:tbl>
      <w:tblPr>
        <w:tblW w:type="dxa" w:w="9350"/>
        <w:tblBorders>
          <w:top w:val="single" w:color="D8D2C4" w:sz="2"/>
          <w:left w:val="none"/>
          <w:bottom w:val="single" w:color="D8D2C4" w:sz="2"/>
          <w:right w:val="none"/>
          <w:insideH w:val="single" w:color="D8D2C4" w:sz="2"/>
          <w:insideV w:val="none"/>
        </w:tblBorders>
      </w:tblPr>
      <w:tblGrid>
        <w:gridCol w:w="2400"/>
        <w:gridCol w:w="6950"/>
      </w:tblGrid>
      <w:tr>
        <w:tc>
          <w:tcPr>
            <w:tcW w:type="dxa" w:w="2400"/>
            <w:shd w:fill="F4F1EC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2A4A"/>
                <w:sz w:val="20"/>
                <w:szCs w:val="20"/>
              </w:rPr>
              <w:t xml:space="preserve">Belongs In</w:t>
            </w:r>
          </w:p>
        </w:tc>
        <w:tc>
          <w:tcPr>
            <w:tcW w:type="dxa" w:w="695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Foundation track — a natural close to the Foundation series, feeding directly into the Planning track's Quarterly Planning Workbook.</w:t>
            </w:r>
          </w:p>
        </w:tc>
      </w:tr>
      <w:tr>
        <w:tc>
          <w:tcPr>
            <w:tcW w:type="dxa" w:w="2400"/>
            <w:shd w:fill="F4F1EC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2A4A"/>
                <w:sz w:val="20"/>
                <w:szCs w:val="20"/>
              </w:rPr>
              <w:t xml:space="preserve">Expands Into (Paid Workbook)</w:t>
            </w:r>
          </w:p>
        </w:tc>
        <w:tc>
          <w:tcPr>
            <w:tcW w:type="dxa" w:w="695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The Quarterly Planning Workbook — expands each goal into a full execution plan with milestones.</w:t>
            </w:r>
          </w:p>
        </w:tc>
      </w:tr>
      <w:tr>
        <w:tc>
          <w:tcPr>
            <w:tcW w:type="dxa" w:w="2400"/>
            <w:shd w:fill="F4F1EC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2A4A"/>
                <w:sz w:val="20"/>
                <w:szCs w:val="20"/>
              </w:rPr>
              <w:t xml:space="preserve">Complementary Workshop</w:t>
            </w:r>
          </w:p>
        </w:tc>
        <w:tc>
          <w:tcPr>
            <w:tcW w:type="dxa" w:w="695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"From Direction to Deadline" — a live session on turning ambitions into trackable goals.</w:t>
            </w:r>
          </w:p>
        </w:tc>
      </w:tr>
      <w:tr>
        <w:tc>
          <w:tcPr>
            <w:tcW w:type="dxa" w:w="2400"/>
            <w:shd w:fill="F4F1EC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2A4A"/>
                <w:sz w:val="20"/>
                <w:szCs w:val="20"/>
              </w:rPr>
              <w:t xml:space="preserve">Supports Future Certification</w:t>
            </w:r>
          </w:p>
        </w:tc>
        <w:tc>
          <w:tcPr>
            <w:tcW w:type="dxa" w:w="695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Apex Certified Business Operator — Module 4: Strategic Planning.</w:t>
            </w:r>
          </w:p>
        </w:tc>
      </w:tr>
    </w:tbl>
    <w:p>
      <w:pPr>
        <w:spacing w:after="120"/>
      </w:pPr>
    </w:p>
    <w:p>
      <w:r>
        <w:br w:type="page"/>
      </w:r>
    </w:p>
    <w:sectPr>
      <w:headerReference w:type="default" r:id="rId7"/>
      <w:footerReference w:type="default" r:id="rId8"/>
      <w:pgSz w:w="12240" w:h="15840" w:orient="portrait"/>
      <w:pgMar w:top="1000" w:right="1224" w:bottom="1000" w:left="122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B6B7C"/>
        <w:sz w:val="14"/>
        <w:szCs w:val="14"/>
      </w:rPr>
      <w:t xml:space="preserve">Free Resource Library  ·  </w:t>
    </w:r>
    <w:r>
      <w:rPr>
        <w:rFonts w:ascii="Calibri" w:cs="Calibri" w:eastAsia="Calibri" w:hAnsi="Calibri"/>
        <w:color w:val="5B6B7C"/>
        <w:sz w:val="14"/>
        <w:szCs w:val="14"/>
      </w:rPr>
      <w:t xml:space="preserve">Page </w:t>
    </w:r>
    <w:r>
      <w:rPr>
        <w:rFonts w:ascii="Calibri" w:cs="Calibri" w:eastAsia="Calibri" w:hAnsi="Calibri"/>
        <w:color w:val="5B6B7C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Calibri" w:cs="Calibri" w:eastAsia="Calibri" w:hAnsi="Calibri"/>
        <w:color w:val="5B6B7C"/>
        <w:spacing w:val="20"/>
        <w:sz w:val="14"/>
        <w:szCs w:val="14"/>
      </w:rPr>
      <w:t xml:space="preserve">APEX ACADEMY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—"/>
      <w:lvlJc w:val="left"/>
      <w:pPr>
        <w:ind w:left="360" w:hanging="288"/>
      </w:pPr>
      <w:rPr>
        <w:color w:val="B08D57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2026-07-18T17:35:15.241Z</dcterms:created>
  <dcterms:modified xsi:type="dcterms:W3CDTF">2026-07-18T17:35:15.252Z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